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5C" w:rsidRDefault="006D285C" w:rsidP="006D285C">
      <w:pPr>
        <w:jc w:val="center"/>
        <w:rPr>
          <w:rFonts w:asciiTheme="majorHAnsi" w:hAnsiTheme="majorHAnsi" w:cs="Tahoma"/>
          <w:b/>
          <w:sz w:val="40"/>
          <w:szCs w:val="40"/>
        </w:rPr>
      </w:pPr>
      <w:r w:rsidRPr="00F976D1">
        <w:rPr>
          <w:rFonts w:asciiTheme="majorHAnsi" w:hAnsiTheme="majorHAnsi" w:cs="Tahoma"/>
          <w:b/>
          <w:sz w:val="40"/>
          <w:szCs w:val="40"/>
        </w:rPr>
        <w:t>Honors Earth and Environmental Science Syllabus</w:t>
      </w:r>
    </w:p>
    <w:p w:rsidR="00AC3E0A" w:rsidRPr="0031383C" w:rsidRDefault="00AC3E0A" w:rsidP="00AC3E0A">
      <w:pPr>
        <w:pStyle w:val="Heading1"/>
        <w:tabs>
          <w:tab w:val="left" w:pos="821"/>
        </w:tabs>
        <w:spacing w:before="3"/>
        <w:ind w:left="0"/>
        <w:jc w:val="center"/>
        <w:rPr>
          <w:rFonts w:ascii="Verdana" w:hAnsi="Verdana"/>
          <w:u w:val="none"/>
        </w:rPr>
      </w:pPr>
      <w:r w:rsidRPr="0031383C">
        <w:rPr>
          <w:rFonts w:ascii="Verdana" w:hAnsi="Verdana"/>
          <w:u w:val="none"/>
        </w:rPr>
        <w:t>Rhonda Brown</w:t>
      </w:r>
    </w:p>
    <w:p w:rsidR="00AC3E0A" w:rsidRPr="0031383C" w:rsidRDefault="00AC3E0A" w:rsidP="00AC3E0A">
      <w:pPr>
        <w:pStyle w:val="Heading1"/>
        <w:tabs>
          <w:tab w:val="left" w:pos="821"/>
        </w:tabs>
        <w:spacing w:before="3"/>
        <w:ind w:left="450"/>
        <w:jc w:val="center"/>
        <w:rPr>
          <w:rFonts w:ascii="Verdana" w:hAnsi="Verdana"/>
          <w:b w:val="0"/>
          <w:u w:val="none"/>
        </w:rPr>
      </w:pPr>
      <w:hyperlink r:id="rId5" w:history="1">
        <w:r w:rsidRPr="0031383C">
          <w:rPr>
            <w:rStyle w:val="Hyperlink"/>
            <w:rFonts w:ascii="Verdana" w:hAnsi="Verdana"/>
            <w:b w:val="0"/>
          </w:rPr>
          <w:t>rhonda.brown@ucps.k12.nc.us</w:t>
        </w:r>
      </w:hyperlink>
    </w:p>
    <w:p w:rsidR="00AC3E0A" w:rsidRPr="00AC3E0A" w:rsidRDefault="00AC3E0A" w:rsidP="00AC3E0A">
      <w:pPr>
        <w:pStyle w:val="Heading1"/>
        <w:tabs>
          <w:tab w:val="left" w:pos="821"/>
        </w:tabs>
        <w:spacing w:before="3"/>
        <w:jc w:val="center"/>
        <w:rPr>
          <w:rFonts w:ascii="Verdana" w:hAnsi="Verdana"/>
          <w:b w:val="0"/>
          <w:u w:val="none"/>
        </w:rPr>
      </w:pPr>
      <w:r w:rsidRPr="0031383C">
        <w:rPr>
          <w:rFonts w:ascii="Verdana" w:hAnsi="Verdana" w:cs="Calibri"/>
          <w:b w:val="0"/>
          <w:color w:val="763E9B"/>
          <w:shd w:val="clear" w:color="auto" w:fill="FFFFFF"/>
        </w:rPr>
        <w:t>(704) 296-3088 ext. 7135</w:t>
      </w:r>
    </w:p>
    <w:p w:rsidR="007B618A" w:rsidRPr="00F976D1" w:rsidRDefault="007B618A" w:rsidP="00121192">
      <w:pPr>
        <w:pStyle w:val="BodyText"/>
        <w:spacing w:before="6"/>
        <w:ind w:left="0"/>
        <w:rPr>
          <w:rFonts w:asciiTheme="majorHAnsi" w:hAnsiTheme="majorHAnsi"/>
          <w:b/>
          <w:sz w:val="17"/>
        </w:rPr>
      </w:pPr>
    </w:p>
    <w:p w:rsidR="00121192" w:rsidRPr="006D285C" w:rsidRDefault="00F976D1" w:rsidP="006D285C">
      <w:pPr>
        <w:pStyle w:val="ListParagraph"/>
        <w:numPr>
          <w:ilvl w:val="0"/>
          <w:numId w:val="2"/>
        </w:numPr>
        <w:tabs>
          <w:tab w:val="left" w:pos="820"/>
          <w:tab w:val="left" w:pos="821"/>
        </w:tabs>
        <w:spacing w:before="2" w:line="272" w:lineRule="exact"/>
        <w:ind w:hanging="361"/>
        <w:rPr>
          <w:rFonts w:ascii="Verdana" w:hAnsi="Verdana"/>
        </w:rPr>
      </w:pPr>
      <w:r w:rsidRPr="006D285C">
        <w:rPr>
          <w:rFonts w:ascii="Verdana" w:hAnsi="Verdana"/>
          <w:b/>
        </w:rPr>
        <w:t xml:space="preserve">General Description </w:t>
      </w:r>
      <w:r w:rsidR="00121192" w:rsidRPr="006D285C">
        <w:rPr>
          <w:rFonts w:ascii="Verdana" w:eastAsia="Libre Baskerville" w:hAnsi="Verdana" w:cs="Times New Roman"/>
        </w:rPr>
        <w:t>This course is meant to help students understand the world they live in. It focuses on the natural systems of Earth present in the atmosphere, water, surface, and deep within its core and the processes that govern them. Additionally, human effects on the environment are also discussed. Finally, it examines Earth as an object in space and its neighbors. After completion of this course, you will have a much greater understanding of the world around you.</w:t>
      </w:r>
    </w:p>
    <w:p w:rsidR="00121192" w:rsidRPr="006D285C" w:rsidRDefault="00F976D1" w:rsidP="006D285C">
      <w:pPr>
        <w:pStyle w:val="ListParagraph"/>
        <w:numPr>
          <w:ilvl w:val="0"/>
          <w:numId w:val="2"/>
        </w:numPr>
        <w:tabs>
          <w:tab w:val="left" w:pos="820"/>
          <w:tab w:val="left" w:pos="821"/>
        </w:tabs>
        <w:spacing w:before="2" w:line="272" w:lineRule="exact"/>
        <w:ind w:hanging="361"/>
        <w:rPr>
          <w:rFonts w:ascii="Verdana" w:hAnsi="Verdana"/>
        </w:rPr>
      </w:pPr>
      <w:r w:rsidRPr="006D285C">
        <w:rPr>
          <w:rFonts w:ascii="Verdana" w:hAnsi="Verdana"/>
          <w:b/>
        </w:rPr>
        <w:t xml:space="preserve">Specific Goals and Objectives </w:t>
      </w:r>
      <w:r w:rsidR="00121192" w:rsidRPr="006D285C">
        <w:rPr>
          <w:rFonts w:ascii="Verdana" w:eastAsia="Libre Baskerville" w:hAnsi="Verdana" w:cs="Times New Roman"/>
        </w:rPr>
        <w:t>Introduction &amp; Scientific Method, Meteorology &amp; Climate, Hydrology, Geology, Environment &amp; Ecology, and Astronomy</w:t>
      </w:r>
    </w:p>
    <w:p w:rsidR="00121192" w:rsidRPr="006D285C" w:rsidRDefault="00121192" w:rsidP="006D285C">
      <w:pPr>
        <w:pStyle w:val="ListParagraph"/>
        <w:tabs>
          <w:tab w:val="left" w:pos="820"/>
          <w:tab w:val="left" w:pos="821"/>
        </w:tabs>
        <w:spacing w:line="269" w:lineRule="exact"/>
        <w:ind w:firstLine="0"/>
        <w:rPr>
          <w:rFonts w:ascii="Verdana" w:hAnsi="Verdana"/>
        </w:rPr>
      </w:pPr>
      <w:r w:rsidRPr="006D285C">
        <w:rPr>
          <w:rFonts w:ascii="Verdana" w:hAnsi="Verdana"/>
        </w:rPr>
        <w:t>The general link for all State Courses (but not CTE)</w:t>
      </w:r>
      <w:r w:rsidRPr="006D285C">
        <w:rPr>
          <w:rFonts w:ascii="Verdana" w:hAnsi="Verdana"/>
          <w:spacing w:val="-20"/>
        </w:rPr>
        <w:t xml:space="preserve"> </w:t>
      </w:r>
      <w:r w:rsidRPr="006D285C">
        <w:rPr>
          <w:rFonts w:ascii="Verdana" w:hAnsi="Verdana"/>
        </w:rPr>
        <w:t>is:</w:t>
      </w:r>
      <w:hyperlink r:id="rId6">
        <w:r w:rsidRPr="006D285C">
          <w:rPr>
            <w:rFonts w:ascii="Verdana" w:hAnsi="Verdana"/>
            <w:color w:val="0462C1"/>
            <w:u w:val="single" w:color="0462C1"/>
          </w:rPr>
          <w:t xml:space="preserve"> http://www.dpi.state.nc.us/curriculum/</w:t>
        </w:r>
      </w:hyperlink>
    </w:p>
    <w:p w:rsidR="00121192" w:rsidRPr="006D285C" w:rsidRDefault="00F976D1" w:rsidP="006D285C">
      <w:pPr>
        <w:pStyle w:val="ListParagraph"/>
        <w:numPr>
          <w:ilvl w:val="0"/>
          <w:numId w:val="2"/>
        </w:numPr>
        <w:tabs>
          <w:tab w:val="left" w:pos="820"/>
          <w:tab w:val="left" w:pos="821"/>
        </w:tabs>
        <w:spacing w:line="272" w:lineRule="exact"/>
        <w:ind w:hanging="361"/>
        <w:rPr>
          <w:rFonts w:ascii="Verdana" w:hAnsi="Verdana"/>
        </w:rPr>
      </w:pPr>
      <w:r w:rsidRPr="006D285C">
        <w:rPr>
          <w:rFonts w:ascii="Verdana" w:hAnsi="Verdana"/>
          <w:b/>
        </w:rPr>
        <w:t xml:space="preserve">Honors Differentiation Statement </w:t>
      </w:r>
      <w:r w:rsidRPr="006D285C">
        <w:rPr>
          <w:rFonts w:ascii="Verdana" w:hAnsi="Verdana"/>
        </w:rPr>
        <w:t>– if course is Honors, see</w:t>
      </w:r>
      <w:r w:rsidRPr="006D285C">
        <w:rPr>
          <w:rFonts w:ascii="Verdana" w:hAnsi="Verdana"/>
          <w:spacing w:val="-6"/>
        </w:rPr>
        <w:t xml:space="preserve"> </w:t>
      </w:r>
      <w:r w:rsidRPr="006D285C">
        <w:rPr>
          <w:rFonts w:ascii="Verdana" w:hAnsi="Verdana"/>
        </w:rPr>
        <w:t>below</w:t>
      </w:r>
    </w:p>
    <w:p w:rsidR="00121192" w:rsidRPr="00F976D1" w:rsidRDefault="00F976D1" w:rsidP="00F976D1">
      <w:pPr>
        <w:pStyle w:val="ListParagraph"/>
        <w:numPr>
          <w:ilvl w:val="0"/>
          <w:numId w:val="2"/>
        </w:numPr>
        <w:tabs>
          <w:tab w:val="left" w:pos="820"/>
          <w:tab w:val="left" w:pos="821"/>
        </w:tabs>
        <w:spacing w:line="272" w:lineRule="exact"/>
        <w:ind w:hanging="361"/>
        <w:rPr>
          <w:rFonts w:ascii="Verdana" w:hAnsi="Verdana"/>
        </w:rPr>
      </w:pPr>
      <w:r w:rsidRPr="006D285C">
        <w:rPr>
          <w:rFonts w:ascii="Verdana" w:hAnsi="Verdana"/>
          <w:b/>
        </w:rPr>
        <w:t xml:space="preserve">Grading </w:t>
      </w:r>
      <w:r w:rsidRPr="006D285C">
        <w:rPr>
          <w:rFonts w:ascii="Verdana" w:hAnsi="Verdana"/>
        </w:rPr>
        <w:t xml:space="preserve">– </w:t>
      </w:r>
      <w:r w:rsidR="00121192" w:rsidRPr="006D285C">
        <w:rPr>
          <w:rFonts w:ascii="Verdana" w:eastAsia="Libre Baskerville" w:hAnsi="Verdana" w:cs="Times New Roman"/>
        </w:rPr>
        <w:t xml:space="preserve">The NC grading scale is as followed: </w:t>
      </w:r>
      <w:r w:rsidR="00121192" w:rsidRPr="00F976D1">
        <w:rPr>
          <w:rFonts w:ascii="Verdana" w:eastAsia="Libre Baskerville" w:hAnsi="Verdana" w:cs="Times New Roman"/>
        </w:rPr>
        <w:t>A= 90-100% B=80-89%C-70-79</w:t>
      </w:r>
      <w:proofErr w:type="gramStart"/>
      <w:r w:rsidR="00121192" w:rsidRPr="00F976D1">
        <w:rPr>
          <w:rFonts w:ascii="Verdana" w:eastAsia="Libre Baskerville" w:hAnsi="Verdana" w:cs="Times New Roman"/>
        </w:rPr>
        <w:t>%  D</w:t>
      </w:r>
      <w:proofErr w:type="gramEnd"/>
      <w:r w:rsidR="00121192" w:rsidRPr="00F976D1">
        <w:rPr>
          <w:rFonts w:ascii="Verdana" w:eastAsia="Libre Baskerville" w:hAnsi="Verdana" w:cs="Times New Roman"/>
        </w:rPr>
        <w:t>=60-69%F=0-59%</w:t>
      </w:r>
      <w:r w:rsidR="00B23E9B" w:rsidRPr="00F976D1">
        <w:rPr>
          <w:rFonts w:ascii="Verdana" w:eastAsia="Libre Baskerville" w:hAnsi="Verdana" w:cs="Times New Roman"/>
        </w:rPr>
        <w:t xml:space="preserve">. DAILY PARTICIPATION is graded. </w:t>
      </w:r>
    </w:p>
    <w:p w:rsidR="007B618A" w:rsidRPr="006D285C" w:rsidRDefault="00F976D1" w:rsidP="006D285C">
      <w:pPr>
        <w:pStyle w:val="ListParagraph"/>
        <w:numPr>
          <w:ilvl w:val="0"/>
          <w:numId w:val="2"/>
        </w:numPr>
        <w:tabs>
          <w:tab w:val="left" w:pos="820"/>
          <w:tab w:val="left" w:pos="821"/>
        </w:tabs>
        <w:spacing w:line="237" w:lineRule="auto"/>
        <w:ind w:right="133"/>
        <w:rPr>
          <w:rFonts w:ascii="Verdana" w:hAnsi="Verdana"/>
        </w:rPr>
      </w:pPr>
      <w:r w:rsidRPr="006D285C">
        <w:rPr>
          <w:rFonts w:ascii="Verdana" w:hAnsi="Verdana"/>
          <w:b/>
        </w:rPr>
        <w:t xml:space="preserve">Supplies </w:t>
      </w:r>
      <w:r w:rsidRPr="006D285C">
        <w:rPr>
          <w:rFonts w:ascii="Verdana" w:hAnsi="Verdana"/>
        </w:rPr>
        <w:t>–</w:t>
      </w:r>
      <w:r w:rsidR="00121192" w:rsidRPr="006D285C">
        <w:rPr>
          <w:rFonts w:ascii="Verdana" w:hAnsi="Verdana"/>
        </w:rPr>
        <w:t xml:space="preserve"> Chromebook, Internet, Paper, Pencil, Pens (different colors), Notebook, Markers, Highlighter</w:t>
      </w:r>
      <w:r w:rsidRPr="006D285C">
        <w:rPr>
          <w:rFonts w:ascii="Verdana" w:hAnsi="Verdana"/>
        </w:rPr>
        <w:t>.</w:t>
      </w:r>
    </w:p>
    <w:p w:rsidR="007B618A" w:rsidRPr="006D285C" w:rsidRDefault="00F976D1" w:rsidP="006D285C">
      <w:pPr>
        <w:pStyle w:val="ListParagraph"/>
        <w:numPr>
          <w:ilvl w:val="0"/>
          <w:numId w:val="2"/>
        </w:numPr>
        <w:tabs>
          <w:tab w:val="left" w:pos="820"/>
          <w:tab w:val="left" w:pos="821"/>
        </w:tabs>
        <w:spacing w:before="5" w:line="235" w:lineRule="auto"/>
        <w:ind w:right="774"/>
        <w:rPr>
          <w:rFonts w:ascii="Verdana" w:hAnsi="Verdana"/>
        </w:rPr>
      </w:pPr>
      <w:r w:rsidRPr="006D285C">
        <w:rPr>
          <w:rFonts w:ascii="Verdana" w:hAnsi="Verdana"/>
          <w:b/>
        </w:rPr>
        <w:t xml:space="preserve">Resources </w:t>
      </w:r>
      <w:r w:rsidRPr="006D285C">
        <w:rPr>
          <w:rFonts w:ascii="Verdana" w:hAnsi="Verdana"/>
        </w:rPr>
        <w:t>– this can include textbook title, online links to texts, how to access your other resources,</w:t>
      </w:r>
      <w:r w:rsidRPr="006D285C">
        <w:rPr>
          <w:rFonts w:ascii="Verdana" w:hAnsi="Verdana"/>
          <w:spacing w:val="-1"/>
        </w:rPr>
        <w:t xml:space="preserve"> </w:t>
      </w:r>
      <w:r w:rsidRPr="006D285C">
        <w:rPr>
          <w:rFonts w:ascii="Verdana" w:hAnsi="Verdana"/>
        </w:rPr>
        <w:t>etc</w:t>
      </w:r>
      <w:proofErr w:type="gramStart"/>
      <w:r w:rsidRPr="006D285C">
        <w:rPr>
          <w:rFonts w:ascii="Verdana" w:hAnsi="Verdana"/>
        </w:rPr>
        <w:t>..</w:t>
      </w:r>
      <w:proofErr w:type="gramEnd"/>
    </w:p>
    <w:p w:rsidR="007B618A" w:rsidRPr="006D285C" w:rsidRDefault="00F976D1" w:rsidP="006D285C">
      <w:pPr>
        <w:pStyle w:val="ListParagraph"/>
        <w:numPr>
          <w:ilvl w:val="0"/>
          <w:numId w:val="2"/>
        </w:numPr>
        <w:tabs>
          <w:tab w:val="left" w:pos="820"/>
          <w:tab w:val="left" w:pos="821"/>
        </w:tabs>
        <w:spacing w:before="4" w:line="235" w:lineRule="auto"/>
        <w:ind w:right="1876"/>
        <w:rPr>
          <w:rFonts w:ascii="Verdana" w:hAnsi="Verdana"/>
        </w:rPr>
      </w:pPr>
      <w:r w:rsidRPr="006D285C">
        <w:rPr>
          <w:rFonts w:ascii="Verdana" w:hAnsi="Verdana"/>
          <w:b/>
        </w:rPr>
        <w:t xml:space="preserve">Assessments and Assignments </w:t>
      </w:r>
      <w:r w:rsidRPr="006D285C">
        <w:rPr>
          <w:rFonts w:ascii="Verdana" w:hAnsi="Verdana"/>
        </w:rPr>
        <w:t xml:space="preserve">– </w:t>
      </w:r>
      <w:r w:rsidR="00121192" w:rsidRPr="006D285C">
        <w:rPr>
          <w:rFonts w:ascii="Verdana" w:hAnsi="Verdana"/>
        </w:rPr>
        <w:t>Most work is found on Canvas. There will be group or collaborative projects and presentations.</w:t>
      </w:r>
    </w:p>
    <w:p w:rsidR="007B618A" w:rsidRPr="006D285C" w:rsidRDefault="00F976D1" w:rsidP="006D285C">
      <w:pPr>
        <w:pStyle w:val="Heading1"/>
        <w:numPr>
          <w:ilvl w:val="0"/>
          <w:numId w:val="2"/>
        </w:numPr>
        <w:tabs>
          <w:tab w:val="left" w:pos="820"/>
          <w:tab w:val="left" w:pos="821"/>
        </w:tabs>
        <w:spacing w:line="272" w:lineRule="exact"/>
        <w:ind w:hanging="361"/>
        <w:rPr>
          <w:rFonts w:ascii="Verdana" w:hAnsi="Verdana"/>
          <w:b w:val="0"/>
          <w:u w:val="none"/>
        </w:rPr>
      </w:pPr>
      <w:r w:rsidRPr="006D285C">
        <w:rPr>
          <w:rFonts w:ascii="Verdana" w:hAnsi="Verdana"/>
          <w:u w:val="none"/>
        </w:rPr>
        <w:t>Make-up Work</w:t>
      </w:r>
      <w:r w:rsidRPr="006D285C">
        <w:rPr>
          <w:rFonts w:ascii="Verdana" w:hAnsi="Verdana"/>
          <w:spacing w:val="-2"/>
          <w:u w:val="none"/>
        </w:rPr>
        <w:t xml:space="preserve"> </w:t>
      </w:r>
      <w:r w:rsidRPr="006D285C">
        <w:rPr>
          <w:rFonts w:ascii="Verdana" w:hAnsi="Verdana"/>
          <w:u w:val="none"/>
        </w:rPr>
        <w:t>rules/procedures</w:t>
      </w:r>
      <w:r w:rsidR="00B23E9B" w:rsidRPr="006D285C">
        <w:rPr>
          <w:rFonts w:ascii="Verdana" w:hAnsi="Verdana"/>
          <w:u w:val="none"/>
        </w:rPr>
        <w:t xml:space="preserve"> –</w:t>
      </w:r>
      <w:r w:rsidR="00B23E9B" w:rsidRPr="006D285C">
        <w:rPr>
          <w:rFonts w:ascii="Verdana" w:hAnsi="Verdana"/>
          <w:b w:val="0"/>
          <w:u w:val="none"/>
        </w:rPr>
        <w:t xml:space="preserve">Work can be found in Canvas. There will be a designated area, in the classroom, for hard copies, of work that needs to be made up. </w:t>
      </w:r>
    </w:p>
    <w:p w:rsidR="007B618A" w:rsidRPr="006D285C" w:rsidRDefault="00F976D1" w:rsidP="006D285C">
      <w:pPr>
        <w:pStyle w:val="ListParagraph"/>
        <w:numPr>
          <w:ilvl w:val="0"/>
          <w:numId w:val="2"/>
        </w:numPr>
        <w:tabs>
          <w:tab w:val="left" w:pos="820"/>
          <w:tab w:val="left" w:pos="821"/>
        </w:tabs>
        <w:spacing w:line="235" w:lineRule="auto"/>
        <w:ind w:right="469"/>
        <w:rPr>
          <w:rFonts w:ascii="Verdana" w:hAnsi="Verdana"/>
        </w:rPr>
      </w:pPr>
      <w:r w:rsidRPr="006D285C">
        <w:rPr>
          <w:rFonts w:ascii="Verdana" w:hAnsi="Verdana"/>
          <w:b/>
        </w:rPr>
        <w:t xml:space="preserve">Classroom Expectations </w:t>
      </w:r>
      <w:r w:rsidR="00B23E9B" w:rsidRPr="006D285C">
        <w:rPr>
          <w:rFonts w:ascii="Verdana" w:hAnsi="Verdana"/>
        </w:rPr>
        <w:t xml:space="preserve">– RESPECT is the MOST important part of class. RESPECT the rules, use RESPECTFUL tones, </w:t>
      </w:r>
      <w:proofErr w:type="gramStart"/>
      <w:r w:rsidR="00B23E9B" w:rsidRPr="006D285C">
        <w:rPr>
          <w:rFonts w:ascii="Verdana" w:hAnsi="Verdana"/>
        </w:rPr>
        <w:t>treat</w:t>
      </w:r>
      <w:proofErr w:type="gramEnd"/>
      <w:r w:rsidR="00B23E9B" w:rsidRPr="006D285C">
        <w:rPr>
          <w:rFonts w:ascii="Verdana" w:hAnsi="Verdana"/>
        </w:rPr>
        <w:t xml:space="preserve"> EVERYONE with RESPECT. ALL MASKS ALL THE TIME. </w:t>
      </w:r>
      <w:r w:rsidR="00396A8B" w:rsidRPr="006D285C">
        <w:rPr>
          <w:rFonts w:ascii="Verdana" w:hAnsi="Verdana"/>
        </w:rPr>
        <w:t xml:space="preserve">If you remove your mask, you will be removed, from the class and your daily participation grade will be impacted. Removal of masks will result in a write up of insubordination. I should not see cell phones. Cell phones will be put away, in </w:t>
      </w:r>
      <w:proofErr w:type="spellStart"/>
      <w:r w:rsidR="00396A8B" w:rsidRPr="006D285C">
        <w:rPr>
          <w:rFonts w:ascii="Verdana" w:hAnsi="Verdana"/>
        </w:rPr>
        <w:t>bookbags.I</w:t>
      </w:r>
      <w:proofErr w:type="spellEnd"/>
      <w:r w:rsidR="00396A8B" w:rsidRPr="006D285C">
        <w:rPr>
          <w:rFonts w:ascii="Verdana" w:hAnsi="Verdana"/>
        </w:rPr>
        <w:t xml:space="preserve"> will take cell phones that are out, without my permission. Cheating and plagiarism result in an automatic zero, on the assignment. I should not see cell phones. </w:t>
      </w:r>
      <w:r w:rsidR="00B23E9B" w:rsidRPr="006D285C">
        <w:rPr>
          <w:rFonts w:ascii="Verdana" w:hAnsi="Verdana"/>
        </w:rPr>
        <w:t xml:space="preserve">Late assignments are deducted 20 </w:t>
      </w:r>
      <w:proofErr w:type="spellStart"/>
      <w:r w:rsidR="00B23E9B" w:rsidRPr="006D285C">
        <w:rPr>
          <w:rFonts w:ascii="Verdana" w:hAnsi="Verdana"/>
        </w:rPr>
        <w:t>pts.each</w:t>
      </w:r>
      <w:proofErr w:type="spellEnd"/>
      <w:r w:rsidR="00B23E9B" w:rsidRPr="006D285C">
        <w:rPr>
          <w:rFonts w:ascii="Verdana" w:hAnsi="Verdana"/>
        </w:rPr>
        <w:t xml:space="preserve"> day they are late. For an assignment 1 day late, the highest grade can be an 80. </w:t>
      </w:r>
    </w:p>
    <w:p w:rsidR="007B618A" w:rsidRPr="006D285C" w:rsidRDefault="00F976D1" w:rsidP="006D285C">
      <w:pPr>
        <w:pStyle w:val="ListParagraph"/>
        <w:numPr>
          <w:ilvl w:val="0"/>
          <w:numId w:val="2"/>
        </w:numPr>
        <w:tabs>
          <w:tab w:val="left" w:pos="821"/>
        </w:tabs>
        <w:spacing w:before="5" w:line="235" w:lineRule="auto"/>
        <w:ind w:right="205"/>
        <w:rPr>
          <w:rFonts w:ascii="Verdana" w:hAnsi="Verdana"/>
        </w:rPr>
      </w:pPr>
      <w:r w:rsidRPr="006D285C">
        <w:rPr>
          <w:rFonts w:ascii="Verdana" w:hAnsi="Verdana"/>
          <w:b/>
        </w:rPr>
        <w:t xml:space="preserve">Online Learning Platform </w:t>
      </w:r>
      <w:r w:rsidR="00396A8B" w:rsidRPr="006D285C">
        <w:rPr>
          <w:rFonts w:ascii="Verdana" w:hAnsi="Verdana"/>
        </w:rPr>
        <w:t>– Canvas and Microsoft Teams</w:t>
      </w:r>
    </w:p>
    <w:p w:rsidR="007B618A" w:rsidRPr="006D285C" w:rsidRDefault="007B618A" w:rsidP="006D285C">
      <w:pPr>
        <w:pStyle w:val="BodyText"/>
        <w:spacing w:before="6"/>
        <w:ind w:left="0"/>
        <w:rPr>
          <w:rFonts w:ascii="Verdana" w:hAnsi="Verdana"/>
        </w:rPr>
      </w:pPr>
      <w:bookmarkStart w:id="0" w:name="_GoBack"/>
      <w:bookmarkEnd w:id="0"/>
    </w:p>
    <w:p w:rsidR="007B618A" w:rsidRPr="006D285C" w:rsidRDefault="00F976D1" w:rsidP="006D285C">
      <w:pPr>
        <w:spacing w:before="1"/>
        <w:ind w:left="100"/>
        <w:rPr>
          <w:rFonts w:ascii="Verdana" w:hAnsi="Verdana"/>
          <w:b/>
        </w:rPr>
      </w:pPr>
      <w:r w:rsidRPr="006D285C">
        <w:rPr>
          <w:rFonts w:ascii="Verdana" w:hAnsi="Verdana"/>
          <w:b/>
          <w:u w:val="single"/>
        </w:rPr>
        <w:t>Required Honors Statement for EVERY HN course that also has a CP version:</w:t>
      </w:r>
    </w:p>
    <w:p w:rsidR="007B618A" w:rsidRPr="006D285C" w:rsidRDefault="007B618A" w:rsidP="006D285C">
      <w:pPr>
        <w:pStyle w:val="BodyText"/>
        <w:spacing w:before="5"/>
        <w:ind w:left="0"/>
        <w:rPr>
          <w:rFonts w:ascii="Verdana" w:hAnsi="Verdana"/>
          <w:b/>
        </w:rPr>
      </w:pPr>
    </w:p>
    <w:p w:rsidR="007B618A" w:rsidRPr="006D285C" w:rsidRDefault="00F976D1" w:rsidP="006D285C">
      <w:pPr>
        <w:spacing w:before="56"/>
        <w:ind w:left="100"/>
        <w:rPr>
          <w:rFonts w:ascii="Verdana" w:hAnsi="Verdana"/>
          <w:b/>
        </w:rPr>
      </w:pPr>
      <w:r w:rsidRPr="006D285C">
        <w:rPr>
          <w:rFonts w:ascii="Verdana" w:hAnsi="Verdana"/>
          <w:b/>
          <w:u w:val="single"/>
        </w:rPr>
        <w:t>Honors:</w:t>
      </w:r>
    </w:p>
    <w:p w:rsidR="007B618A" w:rsidRPr="006D285C" w:rsidRDefault="00F976D1" w:rsidP="006D285C">
      <w:pPr>
        <w:pStyle w:val="BodyText"/>
        <w:ind w:left="100" w:right="243"/>
        <w:rPr>
          <w:rFonts w:ascii="Verdana" w:hAnsi="Verdana"/>
        </w:rPr>
      </w:pPr>
      <w:r w:rsidRPr="006D285C">
        <w:rPr>
          <w:rFonts w:ascii="Verdana" w:hAnsi="Verdana"/>
        </w:rPr>
        <w:t>HN is an honors level course. This course is also available in the Program of Studies at the College Preparatory level. Students earning credit for an Honors level course receive an elevated number of Quality Points for their Grade Point Average. Students choosing the Honors level course should be aware that this Honors level course will include:</w:t>
      </w:r>
    </w:p>
    <w:p w:rsidR="007B618A" w:rsidRPr="006D285C" w:rsidRDefault="00F976D1" w:rsidP="006D285C">
      <w:pPr>
        <w:pStyle w:val="ListParagraph"/>
        <w:numPr>
          <w:ilvl w:val="0"/>
          <w:numId w:val="1"/>
        </w:numPr>
        <w:tabs>
          <w:tab w:val="left" w:pos="820"/>
          <w:tab w:val="left" w:pos="821"/>
        </w:tabs>
        <w:ind w:right="166"/>
        <w:rPr>
          <w:rFonts w:ascii="Verdana" w:hAnsi="Verdana"/>
        </w:rPr>
      </w:pPr>
      <w:r w:rsidRPr="006D285C">
        <w:rPr>
          <w:rFonts w:ascii="Verdana" w:hAnsi="Verdana"/>
        </w:rPr>
        <w:t>Required extension opportunities that are directly related to the Standard Course of Study. This includes additional content beyond that covered in the College Preparatory</w:t>
      </w:r>
      <w:r w:rsidRPr="006D285C">
        <w:rPr>
          <w:rFonts w:ascii="Verdana" w:hAnsi="Verdana"/>
          <w:spacing w:val="-10"/>
        </w:rPr>
        <w:t xml:space="preserve"> </w:t>
      </w:r>
      <w:r w:rsidRPr="006D285C">
        <w:rPr>
          <w:rFonts w:ascii="Verdana" w:hAnsi="Verdana"/>
        </w:rPr>
        <w:t>level.</w:t>
      </w:r>
    </w:p>
    <w:p w:rsidR="007B618A" w:rsidRPr="006D285C" w:rsidRDefault="007B618A" w:rsidP="006D285C">
      <w:pPr>
        <w:rPr>
          <w:rFonts w:ascii="Verdana" w:hAnsi="Verdana"/>
        </w:rPr>
        <w:sectPr w:rsidR="007B618A" w:rsidRPr="006D285C">
          <w:type w:val="continuous"/>
          <w:pgSz w:w="12240" w:h="15840"/>
          <w:pgMar w:top="1400" w:right="1320" w:bottom="280" w:left="1340" w:header="720" w:footer="720" w:gutter="0"/>
          <w:cols w:space="720"/>
        </w:sectPr>
      </w:pPr>
    </w:p>
    <w:p w:rsidR="007B618A" w:rsidRPr="006D285C" w:rsidRDefault="00F976D1" w:rsidP="006D285C">
      <w:pPr>
        <w:pStyle w:val="ListParagraph"/>
        <w:numPr>
          <w:ilvl w:val="0"/>
          <w:numId w:val="1"/>
        </w:numPr>
        <w:tabs>
          <w:tab w:val="left" w:pos="820"/>
          <w:tab w:val="left" w:pos="821"/>
        </w:tabs>
        <w:spacing w:before="79"/>
        <w:ind w:right="653"/>
        <w:rPr>
          <w:rFonts w:ascii="Verdana" w:hAnsi="Verdana"/>
        </w:rPr>
      </w:pPr>
      <w:r w:rsidRPr="006D285C">
        <w:rPr>
          <w:rFonts w:ascii="Verdana" w:hAnsi="Verdana"/>
        </w:rPr>
        <w:lastRenderedPageBreak/>
        <w:t>More challenging coursework and assessments. Students will be expected to demonstrate higher levels of understanding for</w:t>
      </w:r>
      <w:r w:rsidRPr="006D285C">
        <w:rPr>
          <w:rFonts w:ascii="Verdana" w:hAnsi="Verdana"/>
          <w:spacing w:val="-4"/>
        </w:rPr>
        <w:t xml:space="preserve"> </w:t>
      </w:r>
      <w:r w:rsidRPr="006D285C">
        <w:rPr>
          <w:rFonts w:ascii="Verdana" w:hAnsi="Verdana"/>
        </w:rPr>
        <w:t>grades.</w:t>
      </w:r>
    </w:p>
    <w:p w:rsidR="007B618A" w:rsidRPr="006D285C" w:rsidRDefault="00F976D1" w:rsidP="006D285C">
      <w:pPr>
        <w:pStyle w:val="ListParagraph"/>
        <w:numPr>
          <w:ilvl w:val="0"/>
          <w:numId w:val="1"/>
        </w:numPr>
        <w:tabs>
          <w:tab w:val="left" w:pos="820"/>
          <w:tab w:val="left" w:pos="821"/>
        </w:tabs>
        <w:spacing w:line="279" w:lineRule="exact"/>
        <w:ind w:hanging="361"/>
        <w:rPr>
          <w:rFonts w:ascii="Verdana" w:hAnsi="Verdana"/>
        </w:rPr>
      </w:pPr>
      <w:r w:rsidRPr="006D285C">
        <w:rPr>
          <w:rFonts w:ascii="Verdana" w:hAnsi="Verdana"/>
        </w:rPr>
        <w:t>Projects and presentations will be more in</w:t>
      </w:r>
      <w:r w:rsidRPr="006D285C">
        <w:rPr>
          <w:rFonts w:ascii="Verdana" w:hAnsi="Verdana"/>
          <w:spacing w:val="-10"/>
        </w:rPr>
        <w:t xml:space="preserve"> </w:t>
      </w:r>
      <w:r w:rsidRPr="006D285C">
        <w:rPr>
          <w:rFonts w:ascii="Verdana" w:hAnsi="Verdana"/>
        </w:rPr>
        <w:t>depth.</w:t>
      </w:r>
    </w:p>
    <w:p w:rsidR="007B618A" w:rsidRPr="006D285C" w:rsidRDefault="00F976D1" w:rsidP="006D285C">
      <w:pPr>
        <w:pStyle w:val="ListParagraph"/>
        <w:numPr>
          <w:ilvl w:val="0"/>
          <w:numId w:val="1"/>
        </w:numPr>
        <w:tabs>
          <w:tab w:val="left" w:pos="820"/>
          <w:tab w:val="left" w:pos="821"/>
        </w:tabs>
        <w:spacing w:before="1"/>
        <w:ind w:hanging="361"/>
        <w:rPr>
          <w:rFonts w:ascii="Verdana" w:hAnsi="Verdana"/>
        </w:rPr>
      </w:pPr>
      <w:r w:rsidRPr="006D285C">
        <w:rPr>
          <w:rFonts w:ascii="Verdana" w:hAnsi="Verdana"/>
        </w:rPr>
        <w:t>Students will have to focus and study regularly to master the</w:t>
      </w:r>
      <w:r w:rsidRPr="006D285C">
        <w:rPr>
          <w:rFonts w:ascii="Verdana" w:hAnsi="Verdana"/>
          <w:spacing w:val="-10"/>
        </w:rPr>
        <w:t xml:space="preserve"> </w:t>
      </w:r>
      <w:r w:rsidRPr="006D285C">
        <w:rPr>
          <w:rFonts w:ascii="Verdana" w:hAnsi="Verdana"/>
        </w:rPr>
        <w:t>content.</w:t>
      </w:r>
    </w:p>
    <w:p w:rsidR="007B618A" w:rsidRPr="006D285C" w:rsidRDefault="00F976D1" w:rsidP="006D285C">
      <w:pPr>
        <w:pStyle w:val="ListParagraph"/>
        <w:numPr>
          <w:ilvl w:val="0"/>
          <w:numId w:val="1"/>
        </w:numPr>
        <w:tabs>
          <w:tab w:val="left" w:pos="821"/>
        </w:tabs>
        <w:ind w:right="455"/>
        <w:rPr>
          <w:rFonts w:ascii="Verdana" w:hAnsi="Verdana"/>
        </w:rPr>
      </w:pPr>
      <w:r w:rsidRPr="006D285C">
        <w:rPr>
          <w:rFonts w:ascii="Verdana" w:hAnsi="Verdana"/>
        </w:rPr>
        <w:t>The expectation that students can move through the coursework at an accelerated pace and students experiencing difficulty should quickly seek guidance from their teacher on how they can be more</w:t>
      </w:r>
      <w:r w:rsidRPr="006D285C">
        <w:rPr>
          <w:rFonts w:ascii="Verdana" w:hAnsi="Verdana"/>
          <w:spacing w:val="-3"/>
        </w:rPr>
        <w:t xml:space="preserve"> </w:t>
      </w:r>
      <w:r w:rsidRPr="006D285C">
        <w:rPr>
          <w:rFonts w:ascii="Verdana" w:hAnsi="Verdana"/>
        </w:rPr>
        <w:t>successful.</w:t>
      </w:r>
    </w:p>
    <w:p w:rsidR="007B618A" w:rsidRPr="006D285C" w:rsidRDefault="007B618A" w:rsidP="006D285C">
      <w:pPr>
        <w:pStyle w:val="BodyText"/>
        <w:spacing w:before="11"/>
        <w:ind w:left="0"/>
        <w:rPr>
          <w:rFonts w:ascii="Verdana" w:hAnsi="Verdana"/>
        </w:rPr>
      </w:pPr>
    </w:p>
    <w:p w:rsidR="007B618A" w:rsidRPr="006D285C" w:rsidRDefault="00F976D1" w:rsidP="006D285C">
      <w:pPr>
        <w:pStyle w:val="Heading1"/>
        <w:spacing w:before="0"/>
        <w:rPr>
          <w:rFonts w:ascii="Verdana" w:hAnsi="Verdana"/>
          <w:u w:val="none"/>
        </w:rPr>
      </w:pPr>
      <w:r w:rsidRPr="006D285C">
        <w:rPr>
          <w:rFonts w:ascii="Verdana" w:hAnsi="Verdana"/>
        </w:rPr>
        <w:t>Examples of Honors Differentiation in this Course</w:t>
      </w:r>
    </w:p>
    <w:p w:rsidR="007B618A" w:rsidRPr="006D285C" w:rsidRDefault="00F976D1" w:rsidP="006D285C">
      <w:pPr>
        <w:pStyle w:val="BodyText"/>
        <w:ind w:left="150" w:right="4425" w:hanging="51"/>
        <w:rPr>
          <w:rFonts w:ascii="Verdana" w:hAnsi="Verdana"/>
        </w:rPr>
      </w:pPr>
      <w:r w:rsidRPr="006D285C">
        <w:rPr>
          <w:rFonts w:ascii="Verdana" w:hAnsi="Verdana"/>
        </w:rPr>
        <w:t xml:space="preserve">The entire NC Standard Course of Study by clicking here: </w:t>
      </w:r>
      <w:hyperlink r:id="rId7">
        <w:r w:rsidRPr="006D285C">
          <w:rPr>
            <w:rFonts w:ascii="Verdana" w:hAnsi="Verdana"/>
            <w:color w:val="0462C1"/>
            <w:u w:val="single" w:color="0462C1"/>
          </w:rPr>
          <w:t>http://www.dpi.state.nc.us/curriculum/</w:t>
        </w:r>
      </w:hyperlink>
    </w:p>
    <w:p w:rsidR="007B618A" w:rsidRPr="006D285C" w:rsidRDefault="00AC3E0A" w:rsidP="006D285C">
      <w:pPr>
        <w:pStyle w:val="BodyText"/>
        <w:tabs>
          <w:tab w:val="left" w:pos="4896"/>
        </w:tabs>
        <w:spacing w:before="1"/>
        <w:ind w:left="100" w:right="243"/>
        <w:rPr>
          <w:rFonts w:ascii="Verdana" w:hAnsi="Verdana"/>
        </w:rPr>
      </w:pPr>
      <w:hyperlink r:id="rId8">
        <w:r w:rsidR="00F976D1" w:rsidRPr="006D285C">
          <w:rPr>
            <w:rFonts w:ascii="Verdana" w:hAnsi="Verdana"/>
            <w:color w:val="5B9BD4"/>
            <w:u w:val="single" w:color="5B9BD4"/>
          </w:rPr>
          <w:t>http://www.ncpublicschools.org/cte/curriculum/</w:t>
        </w:r>
      </w:hyperlink>
      <w:r w:rsidR="00F976D1" w:rsidRPr="006D285C">
        <w:rPr>
          <w:rFonts w:ascii="Verdana" w:hAnsi="Verdana"/>
          <w:color w:val="5B9BD4"/>
        </w:rPr>
        <w:tab/>
      </w:r>
      <w:r w:rsidR="00F976D1" w:rsidRPr="006D285C">
        <w:rPr>
          <w:rFonts w:ascii="Verdana" w:hAnsi="Verdana"/>
          <w:shd w:val="clear" w:color="auto" w:fill="FFFF00"/>
        </w:rPr>
        <w:t>(for CTE courses – but need to find one specific to</w:t>
      </w:r>
      <w:r w:rsidR="00F976D1" w:rsidRPr="006D285C">
        <w:rPr>
          <w:rFonts w:ascii="Verdana" w:hAnsi="Verdana"/>
        </w:rPr>
        <w:t xml:space="preserve"> </w:t>
      </w:r>
      <w:r w:rsidR="00F976D1" w:rsidRPr="006D285C">
        <w:rPr>
          <w:rFonts w:ascii="Verdana" w:hAnsi="Verdana"/>
          <w:shd w:val="clear" w:color="auto" w:fill="FFFF00"/>
        </w:rPr>
        <w:t>your</w:t>
      </w:r>
      <w:r w:rsidR="00F976D1" w:rsidRPr="006D285C">
        <w:rPr>
          <w:rFonts w:ascii="Verdana" w:hAnsi="Verdana"/>
          <w:spacing w:val="-2"/>
          <w:shd w:val="clear" w:color="auto" w:fill="FFFF00"/>
        </w:rPr>
        <w:t xml:space="preserve"> </w:t>
      </w:r>
      <w:r w:rsidR="00F976D1" w:rsidRPr="006D285C">
        <w:rPr>
          <w:rFonts w:ascii="Verdana" w:hAnsi="Verdana"/>
          <w:shd w:val="clear" w:color="auto" w:fill="FFFF00"/>
        </w:rPr>
        <w:t>course)</w:t>
      </w:r>
    </w:p>
    <w:p w:rsidR="007B618A" w:rsidRPr="006D285C" w:rsidRDefault="00F976D1" w:rsidP="006D285C">
      <w:pPr>
        <w:pStyle w:val="BodyText"/>
        <w:spacing w:before="1"/>
        <w:ind w:left="100" w:right="339"/>
        <w:rPr>
          <w:rFonts w:ascii="Verdana" w:hAnsi="Verdana"/>
        </w:rPr>
      </w:pPr>
      <w:r w:rsidRPr="006D285C">
        <w:rPr>
          <w:rFonts w:ascii="Verdana" w:hAnsi="Verdana"/>
        </w:rPr>
        <w:t>Below is a sample of how the Honors level objectives may differ from those in the College Preparatory level:</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7B618A" w:rsidRPr="006D285C">
        <w:trPr>
          <w:trHeight w:val="268"/>
        </w:trPr>
        <w:tc>
          <w:tcPr>
            <w:tcW w:w="4676" w:type="dxa"/>
          </w:tcPr>
          <w:p w:rsidR="007B618A" w:rsidRPr="006D285C" w:rsidRDefault="00F976D1" w:rsidP="006D285C">
            <w:pPr>
              <w:pStyle w:val="TableParagraph"/>
              <w:spacing w:line="248" w:lineRule="exact"/>
              <w:rPr>
                <w:rFonts w:ascii="Verdana" w:hAnsi="Verdana"/>
                <w:b/>
              </w:rPr>
            </w:pPr>
            <w:r w:rsidRPr="006D285C">
              <w:rPr>
                <w:rFonts w:ascii="Verdana" w:hAnsi="Verdana"/>
                <w:b/>
              </w:rPr>
              <w:t>HONORS level objective</w:t>
            </w:r>
          </w:p>
        </w:tc>
        <w:tc>
          <w:tcPr>
            <w:tcW w:w="4676" w:type="dxa"/>
          </w:tcPr>
          <w:p w:rsidR="007B618A" w:rsidRPr="006D285C" w:rsidRDefault="00F976D1" w:rsidP="006D285C">
            <w:pPr>
              <w:pStyle w:val="TableParagraph"/>
              <w:spacing w:line="248" w:lineRule="exact"/>
              <w:rPr>
                <w:rFonts w:ascii="Verdana" w:hAnsi="Verdana"/>
                <w:b/>
              </w:rPr>
            </w:pPr>
            <w:r w:rsidRPr="006D285C">
              <w:rPr>
                <w:rFonts w:ascii="Verdana" w:hAnsi="Verdana"/>
                <w:b/>
              </w:rPr>
              <w:t>COLLEGE PREP level objective</w:t>
            </w:r>
          </w:p>
        </w:tc>
      </w:tr>
      <w:tr w:rsidR="007B618A" w:rsidRPr="006D285C">
        <w:trPr>
          <w:trHeight w:val="1074"/>
        </w:trPr>
        <w:tc>
          <w:tcPr>
            <w:tcW w:w="4676" w:type="dxa"/>
          </w:tcPr>
          <w:p w:rsidR="007B618A" w:rsidRPr="006D285C" w:rsidRDefault="00F976D1" w:rsidP="006D285C">
            <w:pPr>
              <w:pStyle w:val="TableParagraph"/>
              <w:ind w:right="85"/>
              <w:rPr>
                <w:rFonts w:ascii="Verdana" w:hAnsi="Verdana"/>
              </w:rPr>
            </w:pPr>
            <w:r w:rsidRPr="006D285C">
              <w:rPr>
                <w:rFonts w:ascii="Verdana" w:hAnsi="Verdana"/>
                <w:color w:val="A6A6A6"/>
              </w:rPr>
              <w:t xml:space="preserve">Bio. Example Bio.1.2.3 </w:t>
            </w:r>
            <w:r w:rsidRPr="006D285C">
              <w:rPr>
                <w:rFonts w:ascii="Verdana" w:hAnsi="Verdana"/>
              </w:rPr>
              <w:t xml:space="preserve">Analyze </w:t>
            </w:r>
            <w:r w:rsidRPr="006D285C">
              <w:rPr>
                <w:rFonts w:ascii="Verdana" w:hAnsi="Verdana"/>
                <w:color w:val="A6A6A6"/>
              </w:rPr>
              <w:t xml:space="preserve">how specific cell adaptations help cells survive in particular environments (focus on unicellular organisms </w:t>
            </w:r>
            <w:r w:rsidRPr="006D285C">
              <w:rPr>
                <w:rFonts w:ascii="Verdana" w:hAnsi="Verdana"/>
              </w:rPr>
              <w:t>and</w:t>
            </w:r>
          </w:p>
          <w:p w:rsidR="007B618A" w:rsidRPr="006D285C" w:rsidRDefault="00F976D1" w:rsidP="006D285C">
            <w:pPr>
              <w:pStyle w:val="TableParagraph"/>
              <w:spacing w:line="249" w:lineRule="exact"/>
              <w:rPr>
                <w:rFonts w:ascii="Verdana" w:hAnsi="Verdana"/>
              </w:rPr>
            </w:pPr>
            <w:proofErr w:type="gramStart"/>
            <w:r w:rsidRPr="006D285C">
              <w:rPr>
                <w:rFonts w:ascii="Verdana" w:hAnsi="Verdana"/>
              </w:rPr>
              <w:t>specific</w:t>
            </w:r>
            <w:proofErr w:type="gramEnd"/>
            <w:r w:rsidRPr="006D285C">
              <w:rPr>
                <w:rFonts w:ascii="Verdana" w:hAnsi="Verdana"/>
              </w:rPr>
              <w:t xml:space="preserve"> cell types in multicellular organisms</w:t>
            </w:r>
            <w:r w:rsidRPr="006D285C">
              <w:rPr>
                <w:rFonts w:ascii="Verdana" w:hAnsi="Verdana"/>
                <w:color w:val="A6A6A6"/>
              </w:rPr>
              <w:t>).</w:t>
            </w:r>
          </w:p>
        </w:tc>
        <w:tc>
          <w:tcPr>
            <w:tcW w:w="4676" w:type="dxa"/>
          </w:tcPr>
          <w:p w:rsidR="007B618A" w:rsidRPr="006D285C" w:rsidRDefault="00F976D1" w:rsidP="006D285C">
            <w:pPr>
              <w:pStyle w:val="TableParagraph"/>
              <w:ind w:right="349"/>
              <w:rPr>
                <w:rFonts w:ascii="Verdana" w:hAnsi="Verdana"/>
              </w:rPr>
            </w:pPr>
            <w:r w:rsidRPr="006D285C">
              <w:rPr>
                <w:rFonts w:ascii="Verdana" w:hAnsi="Verdana"/>
                <w:color w:val="A6A6A6"/>
              </w:rPr>
              <w:t>Bio. Example.1.2.3 Explain how specific cell adaptations help cells survive in particular environments (focus on unicellular organisms).</w:t>
            </w:r>
          </w:p>
        </w:tc>
      </w:tr>
      <w:tr w:rsidR="007B618A" w:rsidRPr="006D285C">
        <w:trPr>
          <w:trHeight w:val="1879"/>
        </w:trPr>
        <w:tc>
          <w:tcPr>
            <w:tcW w:w="4676" w:type="dxa"/>
          </w:tcPr>
          <w:p w:rsidR="007B618A" w:rsidRPr="006D285C" w:rsidRDefault="00F976D1" w:rsidP="006D285C">
            <w:pPr>
              <w:pStyle w:val="TableParagraph"/>
              <w:ind w:right="169"/>
              <w:rPr>
                <w:rFonts w:ascii="Verdana" w:hAnsi="Verdana"/>
              </w:rPr>
            </w:pPr>
            <w:r w:rsidRPr="006D285C">
              <w:rPr>
                <w:rFonts w:ascii="Verdana" w:hAnsi="Verdana"/>
                <w:color w:val="A6A6A6"/>
              </w:rPr>
              <w:t xml:space="preserve">Am. History Example AH1.H.2.2 Evaluate key turning points from colonization through Reconstruction in terms of their lasting impact (e.g., conflicts, legislation, elections, innovations, leadership, movements, Supreme Court decisions, etc.), </w:t>
            </w:r>
            <w:r w:rsidRPr="006D285C">
              <w:rPr>
                <w:rFonts w:ascii="Verdana" w:hAnsi="Verdana"/>
              </w:rPr>
              <w:t>project how these issues may</w:t>
            </w:r>
          </w:p>
          <w:p w:rsidR="007B618A" w:rsidRPr="006D285C" w:rsidRDefault="00F976D1" w:rsidP="006D285C">
            <w:pPr>
              <w:pStyle w:val="TableParagraph"/>
              <w:spacing w:line="249" w:lineRule="exact"/>
              <w:rPr>
                <w:rFonts w:ascii="Verdana" w:hAnsi="Verdana"/>
              </w:rPr>
            </w:pPr>
            <w:proofErr w:type="gramStart"/>
            <w:r w:rsidRPr="006D285C">
              <w:rPr>
                <w:rFonts w:ascii="Verdana" w:hAnsi="Verdana"/>
              </w:rPr>
              <w:t>influence</w:t>
            </w:r>
            <w:proofErr w:type="gramEnd"/>
            <w:r w:rsidRPr="006D285C">
              <w:rPr>
                <w:rFonts w:ascii="Verdana" w:hAnsi="Verdana"/>
              </w:rPr>
              <w:t xml:space="preserve"> current or future events</w:t>
            </w:r>
            <w:r w:rsidRPr="006D285C">
              <w:rPr>
                <w:rFonts w:ascii="Verdana" w:hAnsi="Verdana"/>
                <w:color w:val="A6A6A6"/>
              </w:rPr>
              <w:t>.</w:t>
            </w:r>
          </w:p>
        </w:tc>
        <w:tc>
          <w:tcPr>
            <w:tcW w:w="4676" w:type="dxa"/>
          </w:tcPr>
          <w:p w:rsidR="007B618A" w:rsidRPr="006D285C" w:rsidRDefault="00F976D1" w:rsidP="006D285C">
            <w:pPr>
              <w:pStyle w:val="TableParagraph"/>
              <w:ind w:right="169"/>
              <w:rPr>
                <w:rFonts w:ascii="Verdana" w:hAnsi="Verdana"/>
              </w:rPr>
            </w:pPr>
            <w:r w:rsidRPr="006D285C">
              <w:rPr>
                <w:rFonts w:ascii="Verdana" w:hAnsi="Verdana"/>
                <w:color w:val="A6A6A6"/>
              </w:rPr>
              <w:t>Am. History Example AH1.H.2.2 Evaluate key turning points from colonization through Reconstruction in terms of their lasting impact (e.g., conflicts, legislation, elections, innovations, leadership, movements, Supreme Court decisions, etc.).</w:t>
            </w:r>
          </w:p>
        </w:tc>
      </w:tr>
    </w:tbl>
    <w:p w:rsidR="007B618A" w:rsidRPr="006D285C" w:rsidRDefault="007B618A" w:rsidP="006D285C">
      <w:pPr>
        <w:pStyle w:val="BodyText"/>
        <w:spacing w:before="11"/>
        <w:ind w:left="0"/>
        <w:rPr>
          <w:rFonts w:ascii="Verdana" w:hAnsi="Verdana"/>
        </w:rPr>
      </w:pPr>
    </w:p>
    <w:p w:rsidR="007B618A" w:rsidRPr="006D285C" w:rsidRDefault="00F976D1" w:rsidP="006D285C">
      <w:pPr>
        <w:pStyle w:val="BodyText"/>
        <w:ind w:left="100"/>
        <w:rPr>
          <w:rFonts w:ascii="Verdana" w:hAnsi="Verdana"/>
        </w:rPr>
      </w:pPr>
      <w:r w:rsidRPr="006D285C">
        <w:rPr>
          <w:rFonts w:ascii="Verdana" w:hAnsi="Verdana"/>
        </w:rPr>
        <w:t>This differentiation in objectives results in different assignments and assessments. Below is a sample of how the Honors level assignments/assessments may differ in this course: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7B618A" w:rsidRPr="006D285C">
        <w:trPr>
          <w:trHeight w:val="268"/>
        </w:trPr>
        <w:tc>
          <w:tcPr>
            <w:tcW w:w="4676" w:type="dxa"/>
          </w:tcPr>
          <w:p w:rsidR="007B618A" w:rsidRPr="006D285C" w:rsidRDefault="00F976D1" w:rsidP="006D285C">
            <w:pPr>
              <w:pStyle w:val="TableParagraph"/>
              <w:spacing w:line="248" w:lineRule="exact"/>
              <w:rPr>
                <w:rFonts w:ascii="Verdana" w:hAnsi="Verdana"/>
                <w:b/>
              </w:rPr>
            </w:pPr>
            <w:r w:rsidRPr="006D285C">
              <w:rPr>
                <w:rFonts w:ascii="Verdana" w:hAnsi="Verdana"/>
                <w:b/>
              </w:rPr>
              <w:t>HONORS level assignment</w:t>
            </w:r>
          </w:p>
        </w:tc>
        <w:tc>
          <w:tcPr>
            <w:tcW w:w="4676" w:type="dxa"/>
          </w:tcPr>
          <w:p w:rsidR="007B618A" w:rsidRPr="006D285C" w:rsidRDefault="00F976D1" w:rsidP="006D285C">
            <w:pPr>
              <w:pStyle w:val="TableParagraph"/>
              <w:spacing w:line="248" w:lineRule="exact"/>
              <w:rPr>
                <w:rFonts w:ascii="Verdana" w:hAnsi="Verdana"/>
                <w:b/>
              </w:rPr>
            </w:pPr>
            <w:r w:rsidRPr="006D285C">
              <w:rPr>
                <w:rFonts w:ascii="Verdana" w:hAnsi="Verdana"/>
                <w:b/>
              </w:rPr>
              <w:t>COLLEGE PREP level assignment</w:t>
            </w:r>
          </w:p>
        </w:tc>
      </w:tr>
      <w:tr w:rsidR="007B618A" w:rsidRPr="006D285C">
        <w:trPr>
          <w:trHeight w:val="1881"/>
        </w:trPr>
        <w:tc>
          <w:tcPr>
            <w:tcW w:w="4676" w:type="dxa"/>
          </w:tcPr>
          <w:p w:rsidR="007B618A" w:rsidRPr="006D285C" w:rsidRDefault="00F976D1" w:rsidP="006D285C">
            <w:pPr>
              <w:pStyle w:val="TableParagraph"/>
              <w:ind w:right="169"/>
              <w:rPr>
                <w:rFonts w:ascii="Verdana" w:hAnsi="Verdana"/>
              </w:rPr>
            </w:pPr>
            <w:r w:rsidRPr="006D285C">
              <w:rPr>
                <w:rFonts w:ascii="Verdana" w:hAnsi="Verdana"/>
              </w:rPr>
              <w:t>Bio ex. Draw and label one unicellular organism. Indicate two adaptations and how they help the organism survive. Draw and label two different types of specialized cells from one multicellular organism. Identify the adaptations of each cell and analyze how they support the cell’s role in</w:t>
            </w:r>
          </w:p>
          <w:p w:rsidR="007B618A" w:rsidRPr="006D285C" w:rsidRDefault="00F976D1" w:rsidP="006D285C">
            <w:pPr>
              <w:pStyle w:val="TableParagraph"/>
              <w:spacing w:line="249" w:lineRule="exact"/>
              <w:rPr>
                <w:rFonts w:ascii="Verdana" w:hAnsi="Verdana"/>
              </w:rPr>
            </w:pPr>
            <w:proofErr w:type="gramStart"/>
            <w:r w:rsidRPr="006D285C">
              <w:rPr>
                <w:rFonts w:ascii="Verdana" w:hAnsi="Verdana"/>
              </w:rPr>
              <w:t>the</w:t>
            </w:r>
            <w:proofErr w:type="gramEnd"/>
            <w:r w:rsidRPr="006D285C">
              <w:rPr>
                <w:rFonts w:ascii="Verdana" w:hAnsi="Verdana"/>
              </w:rPr>
              <w:t xml:space="preserve"> organism.</w:t>
            </w:r>
          </w:p>
        </w:tc>
        <w:tc>
          <w:tcPr>
            <w:tcW w:w="4676" w:type="dxa"/>
          </w:tcPr>
          <w:p w:rsidR="007B618A" w:rsidRPr="006D285C" w:rsidRDefault="00F976D1" w:rsidP="006D285C">
            <w:pPr>
              <w:pStyle w:val="TableParagraph"/>
              <w:ind w:right="137"/>
              <w:rPr>
                <w:rFonts w:ascii="Verdana" w:hAnsi="Verdana"/>
              </w:rPr>
            </w:pPr>
            <w:r w:rsidRPr="006D285C">
              <w:rPr>
                <w:rFonts w:ascii="Verdana" w:hAnsi="Verdana"/>
              </w:rPr>
              <w:t>Bio ex. Draw and label a bacterial cell. Indicate two adaptations and how they help the organism survive.</w:t>
            </w:r>
          </w:p>
        </w:tc>
      </w:tr>
      <w:tr w:rsidR="007B618A" w:rsidRPr="006D285C">
        <w:trPr>
          <w:trHeight w:val="2148"/>
        </w:trPr>
        <w:tc>
          <w:tcPr>
            <w:tcW w:w="4676" w:type="dxa"/>
          </w:tcPr>
          <w:p w:rsidR="007B618A" w:rsidRPr="006D285C" w:rsidRDefault="00F976D1" w:rsidP="006D285C">
            <w:pPr>
              <w:pStyle w:val="TableParagraph"/>
              <w:ind w:right="169"/>
              <w:rPr>
                <w:rFonts w:ascii="Verdana" w:hAnsi="Verdana"/>
              </w:rPr>
            </w:pPr>
            <w:proofErr w:type="spellStart"/>
            <w:r w:rsidRPr="006D285C">
              <w:rPr>
                <w:rFonts w:ascii="Verdana" w:hAnsi="Verdana"/>
              </w:rPr>
              <w:lastRenderedPageBreak/>
              <w:t>Am.History</w:t>
            </w:r>
            <w:proofErr w:type="spellEnd"/>
            <w:r w:rsidRPr="006D285C">
              <w:rPr>
                <w:rFonts w:ascii="Verdana" w:hAnsi="Verdana"/>
              </w:rPr>
              <w:t xml:space="preserve"> ex. Evaluate </w:t>
            </w:r>
            <w:r w:rsidRPr="006D285C">
              <w:rPr>
                <w:rFonts w:ascii="Verdana" w:hAnsi="Verdana"/>
                <w:i/>
              </w:rPr>
              <w:t xml:space="preserve">Brown vs. Board of Education </w:t>
            </w:r>
            <w:r w:rsidRPr="006D285C">
              <w:rPr>
                <w:rFonts w:ascii="Verdana" w:hAnsi="Verdana"/>
              </w:rPr>
              <w:t>and how this landmark decision impacted public education in the past as well as identifying a current issue in education and analyzing how the Brown vs. BOE decision may be used to support one or both sides of the current issue. Students will present information</w:t>
            </w:r>
          </w:p>
          <w:p w:rsidR="007B618A" w:rsidRPr="006D285C" w:rsidRDefault="00F976D1" w:rsidP="006D285C">
            <w:pPr>
              <w:pStyle w:val="TableParagraph"/>
              <w:spacing w:line="249" w:lineRule="exact"/>
              <w:rPr>
                <w:rFonts w:ascii="Verdana" w:hAnsi="Verdana"/>
              </w:rPr>
            </w:pPr>
            <w:proofErr w:type="gramStart"/>
            <w:r w:rsidRPr="006D285C">
              <w:rPr>
                <w:rFonts w:ascii="Verdana" w:hAnsi="Verdana"/>
              </w:rPr>
              <w:t>in</w:t>
            </w:r>
            <w:proofErr w:type="gramEnd"/>
            <w:r w:rsidRPr="006D285C">
              <w:rPr>
                <w:rFonts w:ascii="Verdana" w:hAnsi="Verdana"/>
              </w:rPr>
              <w:t xml:space="preserve"> a research paper.</w:t>
            </w:r>
          </w:p>
        </w:tc>
        <w:tc>
          <w:tcPr>
            <w:tcW w:w="4676" w:type="dxa"/>
          </w:tcPr>
          <w:p w:rsidR="007B618A" w:rsidRPr="006D285C" w:rsidRDefault="00F976D1" w:rsidP="006D285C">
            <w:pPr>
              <w:pStyle w:val="TableParagraph"/>
              <w:rPr>
                <w:rFonts w:ascii="Verdana" w:hAnsi="Verdana"/>
              </w:rPr>
            </w:pPr>
            <w:proofErr w:type="spellStart"/>
            <w:r w:rsidRPr="006D285C">
              <w:rPr>
                <w:rFonts w:ascii="Verdana" w:hAnsi="Verdana"/>
              </w:rPr>
              <w:t>Am.History</w:t>
            </w:r>
            <w:proofErr w:type="spellEnd"/>
            <w:r w:rsidRPr="006D285C">
              <w:rPr>
                <w:rFonts w:ascii="Verdana" w:hAnsi="Verdana"/>
              </w:rPr>
              <w:t xml:space="preserve"> ex. Evaluate </w:t>
            </w:r>
            <w:r w:rsidRPr="006D285C">
              <w:rPr>
                <w:rFonts w:ascii="Verdana" w:hAnsi="Verdana"/>
                <w:i/>
              </w:rPr>
              <w:t xml:space="preserve">Brown vs. Board of Education </w:t>
            </w:r>
            <w:r w:rsidRPr="006D285C">
              <w:rPr>
                <w:rFonts w:ascii="Verdana" w:hAnsi="Verdana"/>
              </w:rPr>
              <w:t>and how this landmark decision impacted public education in the past.</w:t>
            </w:r>
          </w:p>
        </w:tc>
      </w:tr>
    </w:tbl>
    <w:p w:rsidR="007B618A" w:rsidRPr="006D285C" w:rsidRDefault="007B618A" w:rsidP="006D285C">
      <w:pPr>
        <w:rPr>
          <w:rFonts w:ascii="Verdana" w:hAnsi="Verdana"/>
        </w:rPr>
        <w:sectPr w:rsidR="007B618A" w:rsidRPr="006D285C">
          <w:pgSz w:w="12240" w:h="15840"/>
          <w:pgMar w:top="1360" w:right="1320" w:bottom="280" w:left="1340" w:header="720" w:footer="720" w:gutter="0"/>
          <w:cols w:space="720"/>
        </w:sectPr>
      </w:pPr>
    </w:p>
    <w:p w:rsidR="007B618A" w:rsidRPr="006D285C" w:rsidRDefault="007B618A" w:rsidP="006D285C">
      <w:pPr>
        <w:pStyle w:val="BodyText"/>
        <w:spacing w:before="5"/>
        <w:ind w:left="0"/>
        <w:rPr>
          <w:rFonts w:ascii="Verdana" w:hAnsi="Verdana"/>
        </w:rPr>
      </w:pPr>
    </w:p>
    <w:p w:rsidR="007B618A" w:rsidRPr="006D285C" w:rsidRDefault="00F976D1" w:rsidP="006D285C">
      <w:pPr>
        <w:pStyle w:val="Heading1"/>
        <w:spacing w:before="57"/>
        <w:rPr>
          <w:rFonts w:ascii="Verdana" w:hAnsi="Verdana"/>
          <w:u w:val="none"/>
        </w:rPr>
      </w:pPr>
      <w:r w:rsidRPr="006D285C">
        <w:rPr>
          <w:rFonts w:ascii="Verdana" w:hAnsi="Verdana"/>
        </w:rPr>
        <w:t>Learning Platform at Central Academy</w:t>
      </w:r>
    </w:p>
    <w:p w:rsidR="007B618A" w:rsidRPr="006D285C" w:rsidRDefault="007B618A" w:rsidP="006D285C">
      <w:pPr>
        <w:pStyle w:val="BodyText"/>
        <w:spacing w:before="5"/>
        <w:ind w:left="0"/>
        <w:rPr>
          <w:rFonts w:ascii="Verdana" w:hAnsi="Verdana"/>
          <w:b/>
        </w:rPr>
      </w:pPr>
    </w:p>
    <w:p w:rsidR="007B618A" w:rsidRPr="006D285C" w:rsidRDefault="00F976D1" w:rsidP="006D285C">
      <w:pPr>
        <w:pStyle w:val="BodyText"/>
        <w:spacing w:before="56" w:line="267" w:lineRule="exact"/>
        <w:ind w:left="100"/>
        <w:rPr>
          <w:rFonts w:ascii="Verdana" w:hAnsi="Verdana"/>
        </w:rPr>
      </w:pPr>
      <w:r w:rsidRPr="006D285C">
        <w:rPr>
          <w:rFonts w:ascii="Verdana" w:hAnsi="Verdana"/>
          <w:b/>
          <w:u w:val="single"/>
        </w:rPr>
        <w:t>Canvas</w:t>
      </w:r>
      <w:r w:rsidRPr="006D285C">
        <w:rPr>
          <w:rFonts w:ascii="Verdana" w:hAnsi="Verdana"/>
        </w:rPr>
        <w:t>: The majority of assignments will be submitted on our new "learning platform,"</w:t>
      </w:r>
    </w:p>
    <w:p w:rsidR="007B618A" w:rsidRPr="006D285C" w:rsidRDefault="00F976D1" w:rsidP="006D285C">
      <w:pPr>
        <w:pStyle w:val="BodyText"/>
        <w:ind w:left="100" w:right="167"/>
        <w:rPr>
          <w:rFonts w:ascii="Verdana" w:hAnsi="Verdana"/>
        </w:rPr>
      </w:pPr>
      <w:r w:rsidRPr="006D285C">
        <w:rPr>
          <w:rFonts w:ascii="Verdana" w:hAnsi="Verdana"/>
        </w:rPr>
        <w:t xml:space="preserve">Canvas. Assignments can be submitted a variety of ways including, uploading files, typing into text boxes, and sharing Google documents/presentations. Students not having used Canvas before should alert the teacher and they will be shown how to submit assignments on Canvas. Individual assignments will indicate which method of submission on Canvas is expected. If students need a refresher or have questions, they can access the </w:t>
      </w:r>
      <w:hyperlink r:id="rId9">
        <w:r w:rsidRPr="006D285C">
          <w:rPr>
            <w:rFonts w:ascii="Verdana" w:hAnsi="Verdana"/>
            <w:color w:val="0000FF"/>
            <w:u w:val="single" w:color="0000FF"/>
          </w:rPr>
          <w:t>Canvas Student Guide</w:t>
        </w:r>
        <w:r w:rsidRPr="006D285C">
          <w:rPr>
            <w:rFonts w:ascii="Verdana" w:hAnsi="Verdana"/>
            <w:color w:val="0000FF"/>
          </w:rPr>
          <w:t xml:space="preserve"> </w:t>
        </w:r>
      </w:hyperlink>
      <w:r w:rsidRPr="006D285C">
        <w:rPr>
          <w:rFonts w:ascii="Verdana" w:hAnsi="Verdana"/>
        </w:rPr>
        <w:t>for specific instructions. It is the student's responsibility to ensure assignments are submitted on time and to contact the instructor if there is a problem. The Canvas Learning Platform logs every student log-in on Canvas which provides teachers with a list of when students log-in to Canvas using their user id.</w:t>
      </w:r>
    </w:p>
    <w:p w:rsidR="007B618A" w:rsidRPr="006D285C" w:rsidRDefault="00F976D1" w:rsidP="006D285C">
      <w:pPr>
        <w:pStyle w:val="BodyText"/>
        <w:spacing w:before="1"/>
        <w:ind w:left="100" w:right="263" w:firstLine="719"/>
        <w:rPr>
          <w:rFonts w:ascii="Verdana" w:hAnsi="Verdana"/>
        </w:rPr>
      </w:pPr>
      <w:r w:rsidRPr="006D285C">
        <w:rPr>
          <w:rFonts w:ascii="Verdana" w:hAnsi="Verdana"/>
        </w:rPr>
        <w:t xml:space="preserve">Canvas is used to grade assignments as well, however, the grades in Canvas, while accurate to that assignment, are NOT the teacher’s gradebook. The teacher’s gradebook includes categories of assignments that may be weighted differently and may include grades for assignments that did not use the Canvas Learning Platform. Therefore, students and parents should always check their child’s true average on the Parent Portal on </w:t>
      </w:r>
      <w:proofErr w:type="spellStart"/>
      <w:r w:rsidRPr="006D285C">
        <w:rPr>
          <w:rFonts w:ascii="Verdana" w:hAnsi="Verdana"/>
        </w:rPr>
        <w:t>Powerschool</w:t>
      </w:r>
      <w:proofErr w:type="spellEnd"/>
      <w:r w:rsidRPr="006D285C">
        <w:rPr>
          <w:rFonts w:ascii="Verdana" w:hAnsi="Verdana"/>
        </w:rPr>
        <w:t>.</w:t>
      </w:r>
    </w:p>
    <w:sectPr w:rsidR="007B618A" w:rsidRPr="006D285C">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re Baskerville">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2651"/>
    <w:multiLevelType w:val="hybridMultilevel"/>
    <w:tmpl w:val="3676B448"/>
    <w:lvl w:ilvl="0" w:tplc="A12EF876">
      <w:numFmt w:val="bullet"/>
      <w:lvlText w:val=""/>
      <w:lvlJc w:val="left"/>
      <w:pPr>
        <w:ind w:left="820" w:hanging="360"/>
      </w:pPr>
      <w:rPr>
        <w:rFonts w:hint="default"/>
        <w:w w:val="100"/>
        <w:lang w:val="en-US" w:eastAsia="en-US" w:bidi="ar-SA"/>
      </w:rPr>
    </w:lvl>
    <w:lvl w:ilvl="1" w:tplc="5D0851C0">
      <w:numFmt w:val="bullet"/>
      <w:lvlText w:val="•"/>
      <w:lvlJc w:val="left"/>
      <w:pPr>
        <w:ind w:left="1696" w:hanging="360"/>
      </w:pPr>
      <w:rPr>
        <w:rFonts w:hint="default"/>
        <w:lang w:val="en-US" w:eastAsia="en-US" w:bidi="ar-SA"/>
      </w:rPr>
    </w:lvl>
    <w:lvl w:ilvl="2" w:tplc="B09A9C38">
      <w:numFmt w:val="bullet"/>
      <w:lvlText w:val="•"/>
      <w:lvlJc w:val="left"/>
      <w:pPr>
        <w:ind w:left="2572" w:hanging="360"/>
      </w:pPr>
      <w:rPr>
        <w:rFonts w:hint="default"/>
        <w:lang w:val="en-US" w:eastAsia="en-US" w:bidi="ar-SA"/>
      </w:rPr>
    </w:lvl>
    <w:lvl w:ilvl="3" w:tplc="B8A0501E">
      <w:numFmt w:val="bullet"/>
      <w:lvlText w:val="•"/>
      <w:lvlJc w:val="left"/>
      <w:pPr>
        <w:ind w:left="3448" w:hanging="360"/>
      </w:pPr>
      <w:rPr>
        <w:rFonts w:hint="default"/>
        <w:lang w:val="en-US" w:eastAsia="en-US" w:bidi="ar-SA"/>
      </w:rPr>
    </w:lvl>
    <w:lvl w:ilvl="4" w:tplc="0DCE1062">
      <w:numFmt w:val="bullet"/>
      <w:lvlText w:val="•"/>
      <w:lvlJc w:val="left"/>
      <w:pPr>
        <w:ind w:left="4324" w:hanging="360"/>
      </w:pPr>
      <w:rPr>
        <w:rFonts w:hint="default"/>
        <w:lang w:val="en-US" w:eastAsia="en-US" w:bidi="ar-SA"/>
      </w:rPr>
    </w:lvl>
    <w:lvl w:ilvl="5" w:tplc="EAD8E934">
      <w:numFmt w:val="bullet"/>
      <w:lvlText w:val="•"/>
      <w:lvlJc w:val="left"/>
      <w:pPr>
        <w:ind w:left="5200" w:hanging="360"/>
      </w:pPr>
      <w:rPr>
        <w:rFonts w:hint="default"/>
        <w:lang w:val="en-US" w:eastAsia="en-US" w:bidi="ar-SA"/>
      </w:rPr>
    </w:lvl>
    <w:lvl w:ilvl="6" w:tplc="12128BE8">
      <w:numFmt w:val="bullet"/>
      <w:lvlText w:val="•"/>
      <w:lvlJc w:val="left"/>
      <w:pPr>
        <w:ind w:left="6076" w:hanging="360"/>
      </w:pPr>
      <w:rPr>
        <w:rFonts w:hint="default"/>
        <w:lang w:val="en-US" w:eastAsia="en-US" w:bidi="ar-SA"/>
      </w:rPr>
    </w:lvl>
    <w:lvl w:ilvl="7" w:tplc="CFB8862A">
      <w:numFmt w:val="bullet"/>
      <w:lvlText w:val="•"/>
      <w:lvlJc w:val="left"/>
      <w:pPr>
        <w:ind w:left="6952" w:hanging="360"/>
      </w:pPr>
      <w:rPr>
        <w:rFonts w:hint="default"/>
        <w:lang w:val="en-US" w:eastAsia="en-US" w:bidi="ar-SA"/>
      </w:rPr>
    </w:lvl>
    <w:lvl w:ilvl="8" w:tplc="87E856D6">
      <w:numFmt w:val="bullet"/>
      <w:lvlText w:val="•"/>
      <w:lvlJc w:val="left"/>
      <w:pPr>
        <w:ind w:left="7828" w:hanging="360"/>
      </w:pPr>
      <w:rPr>
        <w:rFonts w:hint="default"/>
        <w:lang w:val="en-US" w:eastAsia="en-US" w:bidi="ar-SA"/>
      </w:rPr>
    </w:lvl>
  </w:abstractNum>
  <w:abstractNum w:abstractNumId="1" w15:restartNumberingAfterBreak="0">
    <w:nsid w:val="5EB645E5"/>
    <w:multiLevelType w:val="hybridMultilevel"/>
    <w:tmpl w:val="55644FA8"/>
    <w:lvl w:ilvl="0" w:tplc="38C44470">
      <w:numFmt w:val="bullet"/>
      <w:lvlText w:val="o"/>
      <w:lvlJc w:val="left"/>
      <w:pPr>
        <w:ind w:left="450" w:hanging="360"/>
      </w:pPr>
      <w:rPr>
        <w:rFonts w:ascii="Courier New" w:eastAsia="Courier New" w:hAnsi="Courier New" w:cs="Courier New" w:hint="default"/>
        <w:w w:val="100"/>
        <w:sz w:val="22"/>
        <w:szCs w:val="22"/>
        <w:lang w:val="en-US" w:eastAsia="en-US" w:bidi="ar-SA"/>
      </w:rPr>
    </w:lvl>
    <w:lvl w:ilvl="1" w:tplc="FAEE3610">
      <w:numFmt w:val="bullet"/>
      <w:lvlText w:val="o"/>
      <w:lvlJc w:val="left"/>
      <w:pPr>
        <w:ind w:left="1170" w:hanging="360"/>
      </w:pPr>
      <w:rPr>
        <w:rFonts w:ascii="Courier New" w:eastAsia="Courier New" w:hAnsi="Courier New" w:cs="Courier New" w:hint="default"/>
        <w:w w:val="100"/>
        <w:sz w:val="22"/>
        <w:szCs w:val="22"/>
        <w:lang w:val="en-US" w:eastAsia="en-US" w:bidi="ar-SA"/>
      </w:rPr>
    </w:lvl>
    <w:lvl w:ilvl="2" w:tplc="951E2B06">
      <w:numFmt w:val="bullet"/>
      <w:lvlText w:val=""/>
      <w:lvlJc w:val="left"/>
      <w:pPr>
        <w:ind w:left="440" w:hanging="360"/>
      </w:pPr>
      <w:rPr>
        <w:rFonts w:ascii="Wingdings" w:eastAsia="Wingdings" w:hAnsi="Wingdings" w:cs="Wingdings" w:hint="default"/>
        <w:w w:val="100"/>
        <w:sz w:val="22"/>
        <w:szCs w:val="22"/>
        <w:lang w:val="en-US" w:eastAsia="en-US" w:bidi="ar-SA"/>
      </w:rPr>
    </w:lvl>
    <w:lvl w:ilvl="3" w:tplc="DC542AB8">
      <w:numFmt w:val="bullet"/>
      <w:lvlText w:val="•"/>
      <w:lvlJc w:val="left"/>
      <w:pPr>
        <w:ind w:left="2805" w:hanging="360"/>
      </w:pPr>
      <w:rPr>
        <w:rFonts w:hint="default"/>
        <w:lang w:val="en-US" w:eastAsia="en-US" w:bidi="ar-SA"/>
      </w:rPr>
    </w:lvl>
    <w:lvl w:ilvl="4" w:tplc="4B124514">
      <w:numFmt w:val="bullet"/>
      <w:lvlText w:val="•"/>
      <w:lvlJc w:val="left"/>
      <w:pPr>
        <w:ind w:left="3720" w:hanging="360"/>
      </w:pPr>
      <w:rPr>
        <w:rFonts w:hint="default"/>
        <w:lang w:val="en-US" w:eastAsia="en-US" w:bidi="ar-SA"/>
      </w:rPr>
    </w:lvl>
    <w:lvl w:ilvl="5" w:tplc="6B44ADEE">
      <w:numFmt w:val="bullet"/>
      <w:lvlText w:val="•"/>
      <w:lvlJc w:val="left"/>
      <w:pPr>
        <w:ind w:left="4635" w:hanging="360"/>
      </w:pPr>
      <w:rPr>
        <w:rFonts w:hint="default"/>
        <w:lang w:val="en-US" w:eastAsia="en-US" w:bidi="ar-SA"/>
      </w:rPr>
    </w:lvl>
    <w:lvl w:ilvl="6" w:tplc="37BA3D7C">
      <w:numFmt w:val="bullet"/>
      <w:lvlText w:val="•"/>
      <w:lvlJc w:val="left"/>
      <w:pPr>
        <w:ind w:left="5550" w:hanging="360"/>
      </w:pPr>
      <w:rPr>
        <w:rFonts w:hint="default"/>
        <w:lang w:val="en-US" w:eastAsia="en-US" w:bidi="ar-SA"/>
      </w:rPr>
    </w:lvl>
    <w:lvl w:ilvl="7" w:tplc="1AFE094C">
      <w:numFmt w:val="bullet"/>
      <w:lvlText w:val="•"/>
      <w:lvlJc w:val="left"/>
      <w:pPr>
        <w:ind w:left="6465" w:hanging="360"/>
      </w:pPr>
      <w:rPr>
        <w:rFonts w:hint="default"/>
        <w:lang w:val="en-US" w:eastAsia="en-US" w:bidi="ar-SA"/>
      </w:rPr>
    </w:lvl>
    <w:lvl w:ilvl="8" w:tplc="2346977C">
      <w:numFmt w:val="bullet"/>
      <w:lvlText w:val="•"/>
      <w:lvlJc w:val="left"/>
      <w:pPr>
        <w:ind w:left="7380" w:hanging="360"/>
      </w:pPr>
      <w:rPr>
        <w:rFonts w:hint="default"/>
        <w:lang w:val="en-US" w:eastAsia="en-US" w:bidi="ar-SA"/>
      </w:rPr>
    </w:lvl>
  </w:abstractNum>
  <w:abstractNum w:abstractNumId="2" w15:restartNumberingAfterBreak="0">
    <w:nsid w:val="747628A2"/>
    <w:multiLevelType w:val="multilevel"/>
    <w:tmpl w:val="1FBA6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8A"/>
    <w:rsid w:val="00121192"/>
    <w:rsid w:val="00396A8B"/>
    <w:rsid w:val="006D285C"/>
    <w:rsid w:val="007B618A"/>
    <w:rsid w:val="00AC3E0A"/>
    <w:rsid w:val="00B23E9B"/>
    <w:rsid w:val="00F9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C20A"/>
  <w15:docId w15:val="{5E946A6B-3B23-4B6B-ACB8-2D1B8959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link w:val="Heading1Char"/>
    <w:uiPriority w:val="1"/>
    <w:qFormat/>
    <w:pPr>
      <w:spacing w:before="1"/>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Subtitle">
    <w:name w:val="Subtitle"/>
    <w:basedOn w:val="Normal"/>
    <w:next w:val="Normal"/>
    <w:link w:val="SubtitleChar"/>
    <w:rsid w:val="00121192"/>
    <w:pPr>
      <w:keepNext/>
      <w:keepLines/>
      <w:widowControl/>
      <w:autoSpaceDE/>
      <w:autoSpaceDN/>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121192"/>
    <w:rPr>
      <w:rFonts w:ascii="Arial" w:eastAsia="Arial" w:hAnsi="Arial" w:cs="Arial"/>
      <w:color w:val="666666"/>
      <w:sz w:val="30"/>
      <w:szCs w:val="30"/>
      <w:lang w:val="en"/>
    </w:rPr>
  </w:style>
  <w:style w:type="character" w:styleId="Hyperlink">
    <w:name w:val="Hyperlink"/>
    <w:basedOn w:val="DefaultParagraphFont"/>
    <w:uiPriority w:val="99"/>
    <w:unhideWhenUsed/>
    <w:rsid w:val="00396A8B"/>
    <w:rPr>
      <w:color w:val="0000FF" w:themeColor="hyperlink"/>
      <w:u w:val="single"/>
    </w:rPr>
  </w:style>
  <w:style w:type="character" w:customStyle="1" w:styleId="Heading1Char">
    <w:name w:val="Heading 1 Char"/>
    <w:basedOn w:val="DefaultParagraphFont"/>
    <w:link w:val="Heading1"/>
    <w:uiPriority w:val="1"/>
    <w:rsid w:val="00AC3E0A"/>
    <w:rPr>
      <w:rFonts w:ascii="Carlito" w:eastAsia="Carlito" w:hAnsi="Carlito" w:cs="Carlito"/>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publicschools.org/cte/curriculum/" TargetMode="External"/><Relationship Id="rId3" Type="http://schemas.openxmlformats.org/officeDocument/2006/relationships/settings" Target="settings.xml"/><Relationship Id="rId7" Type="http://schemas.openxmlformats.org/officeDocument/2006/relationships/hyperlink" Target="http://www.dpi.state.nc.us/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i.state.nc.us/curriculum/" TargetMode="External"/><Relationship Id="rId11" Type="http://schemas.openxmlformats.org/officeDocument/2006/relationships/theme" Target="theme/theme1.xml"/><Relationship Id="rId5" Type="http://schemas.openxmlformats.org/officeDocument/2006/relationships/hyperlink" Target="mailto:rhonda.brown@ucps.k12.nc.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uides.instructure.com/m/4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Fisenne</dc:creator>
  <cp:lastModifiedBy>Rhonda Brown</cp:lastModifiedBy>
  <cp:revision>2</cp:revision>
  <dcterms:created xsi:type="dcterms:W3CDTF">2020-08-13T17:57:00Z</dcterms:created>
  <dcterms:modified xsi:type="dcterms:W3CDTF">2020-08-13T17:57:00Z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2020-08-13T00:00:00Z</vt:filetime>
  </property>
</Properties>
</file>